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94" w:rsidRPr="00E040F7" w:rsidRDefault="000A0294" w:rsidP="000A0294">
      <w:pPr>
        <w:pBdr>
          <w:bottom w:val="single" w:sz="6" w:space="4" w:color="E3E3E3"/>
        </w:pBdr>
        <w:shd w:val="clear" w:color="auto" w:fill="FFFFFF"/>
        <w:spacing w:after="0" w:line="240" w:lineRule="auto"/>
        <w:outlineLvl w:val="1"/>
        <w:rPr>
          <w:rFonts w:ascii="Arial" w:eastAsia="Times New Roman" w:hAnsi="Arial" w:cs="Arial"/>
          <w:color w:val="000000"/>
          <w:sz w:val="27"/>
          <w:szCs w:val="27"/>
          <w:lang w:eastAsia="en-AU"/>
        </w:rPr>
      </w:pPr>
      <w:r w:rsidRPr="00E040F7">
        <w:rPr>
          <w:rFonts w:ascii="Arial" w:eastAsia="Times New Roman" w:hAnsi="Arial" w:cs="Arial"/>
          <w:color w:val="000000"/>
          <w:sz w:val="27"/>
          <w:szCs w:val="27"/>
          <w:lang w:eastAsia="en-AU"/>
        </w:rPr>
        <w:fldChar w:fldCharType="begin"/>
      </w:r>
      <w:r w:rsidRPr="00E040F7">
        <w:rPr>
          <w:rFonts w:ascii="Arial" w:eastAsia="Times New Roman" w:hAnsi="Arial" w:cs="Arial"/>
          <w:color w:val="000000"/>
          <w:sz w:val="27"/>
          <w:szCs w:val="27"/>
          <w:lang w:eastAsia="en-AU"/>
        </w:rPr>
        <w:instrText xml:space="preserve"> HYPERLINK "http://awardsgrantsproposals.com/insider-tips/list-of-australian-grantmakers/" \o "Permalink to List of Australian Philanthropic Grantmakers + Resources" </w:instrText>
      </w:r>
      <w:r w:rsidRPr="00E040F7">
        <w:rPr>
          <w:rFonts w:ascii="Arial" w:eastAsia="Times New Roman" w:hAnsi="Arial" w:cs="Arial"/>
          <w:color w:val="000000"/>
          <w:sz w:val="27"/>
          <w:szCs w:val="27"/>
          <w:lang w:eastAsia="en-AU"/>
        </w:rPr>
        <w:fldChar w:fldCharType="separate"/>
      </w:r>
      <w:r w:rsidRPr="00E040F7">
        <w:rPr>
          <w:rFonts w:ascii="Tahoma" w:eastAsia="Times New Roman" w:hAnsi="Tahoma" w:cs="Tahoma"/>
          <w:color w:val="1772AF"/>
          <w:sz w:val="27"/>
          <w:szCs w:val="27"/>
          <w:bdr w:val="none" w:sz="0" w:space="0" w:color="auto" w:frame="1"/>
          <w:lang w:eastAsia="en-AU"/>
        </w:rPr>
        <w:t xml:space="preserve">List of Australian Philanthropic </w:t>
      </w:r>
      <w:proofErr w:type="spellStart"/>
      <w:r w:rsidRPr="00E040F7">
        <w:rPr>
          <w:rFonts w:ascii="Tahoma" w:eastAsia="Times New Roman" w:hAnsi="Tahoma" w:cs="Tahoma"/>
          <w:color w:val="1772AF"/>
          <w:sz w:val="27"/>
          <w:szCs w:val="27"/>
          <w:bdr w:val="none" w:sz="0" w:space="0" w:color="auto" w:frame="1"/>
          <w:lang w:eastAsia="en-AU"/>
        </w:rPr>
        <w:t>Grantmakers</w:t>
      </w:r>
      <w:proofErr w:type="spellEnd"/>
      <w:r w:rsidRPr="00E040F7">
        <w:rPr>
          <w:rFonts w:ascii="Tahoma" w:eastAsia="Times New Roman" w:hAnsi="Tahoma" w:cs="Tahoma"/>
          <w:color w:val="1772AF"/>
          <w:sz w:val="27"/>
          <w:szCs w:val="27"/>
          <w:bdr w:val="none" w:sz="0" w:space="0" w:color="auto" w:frame="1"/>
          <w:lang w:eastAsia="en-AU"/>
        </w:rPr>
        <w:t xml:space="preserve"> + Resources</w:t>
      </w:r>
      <w:r w:rsidRPr="00E040F7">
        <w:rPr>
          <w:rFonts w:ascii="Arial" w:eastAsia="Times New Roman" w:hAnsi="Arial" w:cs="Arial"/>
          <w:color w:val="000000"/>
          <w:sz w:val="27"/>
          <w:szCs w:val="27"/>
          <w:lang w:eastAsia="en-AU"/>
        </w:rPr>
        <w:fldChar w:fldCharType="end"/>
      </w:r>
    </w:p>
    <w:p w:rsidR="000A0294" w:rsidRPr="00E040F7" w:rsidRDefault="000A0294" w:rsidP="000A0294">
      <w:pPr>
        <w:shd w:val="clear" w:color="auto" w:fill="FFFFFF"/>
        <w:spacing w:after="0" w:line="300" w:lineRule="atLeast"/>
        <w:rPr>
          <w:rFonts w:ascii="Tahoma" w:eastAsia="Times New Roman" w:hAnsi="Tahoma" w:cs="Tahoma"/>
          <w:color w:val="2C2B2B"/>
          <w:sz w:val="18"/>
          <w:szCs w:val="18"/>
          <w:lang w:eastAsia="en-AU"/>
        </w:rPr>
      </w:pPr>
      <w:r w:rsidRPr="00E040F7">
        <w:rPr>
          <w:rFonts w:ascii="Tahoma" w:eastAsia="Times New Roman" w:hAnsi="Tahoma" w:cs="Tahoma"/>
          <w:color w:val="2C2B2B"/>
          <w:sz w:val="18"/>
          <w:szCs w:val="18"/>
          <w:lang w:eastAsia="en-AU"/>
        </w:rPr>
        <w:t>Please find following a list of websites on Philanthropic organisations that offer funding opportunities for Australian Charities.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5" w:tgtFrame="_blank" w:tooltip="Anz Staff Foundation" w:history="1">
        <w:r w:rsidRPr="00E040F7">
          <w:rPr>
            <w:rFonts w:ascii="Tahoma" w:eastAsia="Times New Roman" w:hAnsi="Tahoma" w:cs="Tahoma"/>
            <w:color w:val="1772AF"/>
            <w:sz w:val="18"/>
            <w:szCs w:val="18"/>
            <w:lang w:eastAsia="en-AU"/>
          </w:rPr>
          <w:t>ANZ Staff Foundation</w:t>
        </w:r>
      </w:hyperlink>
      <w:r w:rsidRPr="00E040F7">
        <w:rPr>
          <w:rFonts w:ascii="Tahoma" w:eastAsia="Times New Roman" w:hAnsi="Tahoma" w:cs="Tahoma"/>
          <w:color w:val="2C2B2B"/>
          <w:sz w:val="18"/>
          <w:szCs w:val="18"/>
          <w:lang w:eastAsia="en-AU"/>
        </w:rPr>
        <w:t>: For projects that encourage community based entrepreneurship and job creation, particularly in rural areas.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6" w:tgtFrame="_blank" w:tooltip="ANZ Trustees" w:history="1">
        <w:r w:rsidRPr="00E040F7">
          <w:rPr>
            <w:rFonts w:ascii="Tahoma" w:eastAsia="Times New Roman" w:hAnsi="Tahoma" w:cs="Tahoma"/>
            <w:color w:val="1772AF"/>
            <w:sz w:val="18"/>
            <w:szCs w:val="18"/>
            <w:lang w:eastAsia="en-AU"/>
          </w:rPr>
          <w:t>ANZ Trustees</w:t>
        </w:r>
      </w:hyperlink>
      <w:r w:rsidRPr="00E040F7">
        <w:rPr>
          <w:rFonts w:ascii="Tahoma" w:eastAsia="Times New Roman" w:hAnsi="Tahoma" w:cs="Tahoma"/>
          <w:color w:val="2C2B2B"/>
          <w:sz w:val="18"/>
          <w:szCs w:val="18"/>
          <w:lang w:eastAsia="en-AU"/>
        </w:rPr>
        <w:t>: Manage a host of trusts and programs that provide funds to support projects and initiatives likely to achieve some sustainable benefit to the community in areas nominated by particular benefactors. Some, not all, are open to applications.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7" w:tooltip="Australia Council for the Arts" w:history="1">
        <w:r w:rsidRPr="00E040F7">
          <w:rPr>
            <w:rFonts w:ascii="Tahoma" w:eastAsia="Times New Roman" w:hAnsi="Tahoma" w:cs="Tahoma"/>
            <w:color w:val="1772AF"/>
            <w:sz w:val="18"/>
            <w:szCs w:val="18"/>
            <w:lang w:eastAsia="en-AU"/>
          </w:rPr>
          <w:t xml:space="preserve">The Australia Council for the </w:t>
        </w:r>
        <w:proofErr w:type="gramStart"/>
        <w:r w:rsidRPr="00E040F7">
          <w:rPr>
            <w:rFonts w:ascii="Tahoma" w:eastAsia="Times New Roman" w:hAnsi="Tahoma" w:cs="Tahoma"/>
            <w:color w:val="1772AF"/>
            <w:sz w:val="18"/>
            <w:szCs w:val="18"/>
            <w:lang w:eastAsia="en-AU"/>
          </w:rPr>
          <w:t>Arts </w:t>
        </w:r>
        <w:proofErr w:type="gramEnd"/>
      </w:hyperlink>
      <w:r w:rsidRPr="00E040F7">
        <w:rPr>
          <w:rFonts w:ascii="Tahoma" w:eastAsia="Times New Roman" w:hAnsi="Tahoma" w:cs="Tahoma"/>
          <w:color w:val="2C2B2B"/>
          <w:sz w:val="18"/>
          <w:szCs w:val="18"/>
          <w:lang w:eastAsia="en-AU"/>
        </w:rPr>
        <w:t xml:space="preserve">: Offers a wide range of funding programs for Australian </w:t>
      </w:r>
      <w:proofErr w:type="spellStart"/>
      <w:r w:rsidRPr="00E040F7">
        <w:rPr>
          <w:rFonts w:ascii="Tahoma" w:eastAsia="Times New Roman" w:hAnsi="Tahoma" w:cs="Tahoma"/>
          <w:color w:val="2C2B2B"/>
          <w:sz w:val="18"/>
          <w:szCs w:val="18"/>
          <w:lang w:eastAsia="en-AU"/>
        </w:rPr>
        <w:t>artisits</w:t>
      </w:r>
      <w:proofErr w:type="spellEnd"/>
      <w:r w:rsidRPr="00E040F7">
        <w:rPr>
          <w:rFonts w:ascii="Tahoma" w:eastAsia="Times New Roman" w:hAnsi="Tahoma" w:cs="Tahoma"/>
          <w:color w:val="2C2B2B"/>
          <w:sz w:val="18"/>
          <w:szCs w:val="18"/>
          <w:lang w:eastAsia="en-AU"/>
        </w:rPr>
        <w:t xml:space="preserve"> and arts organisations.  </w:t>
      </w:r>
      <w:proofErr w:type="gramStart"/>
      <w:r w:rsidRPr="00E040F7">
        <w:rPr>
          <w:rFonts w:ascii="Tahoma" w:eastAsia="Times New Roman" w:hAnsi="Tahoma" w:cs="Tahoma"/>
          <w:color w:val="2C2B2B"/>
          <w:sz w:val="18"/>
          <w:szCs w:val="18"/>
          <w:lang w:eastAsia="en-AU"/>
        </w:rPr>
        <w:t>there</w:t>
      </w:r>
      <w:proofErr w:type="gramEnd"/>
      <w:r w:rsidRPr="00E040F7">
        <w:rPr>
          <w:rFonts w:ascii="Tahoma" w:eastAsia="Times New Roman" w:hAnsi="Tahoma" w:cs="Tahoma"/>
          <w:color w:val="2C2B2B"/>
          <w:sz w:val="18"/>
          <w:szCs w:val="18"/>
          <w:lang w:eastAsia="en-AU"/>
        </w:rPr>
        <w:t xml:space="preserve"> are for all major areas of arts practice – Aboriginal and Torres Strait Islander arts, community partnerships, dance, inter-arts, literature, music , theatre and visual arts.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r w:rsidRPr="00E040F7">
        <w:rPr>
          <w:rFonts w:ascii="Tahoma" w:eastAsia="Times New Roman" w:hAnsi="Tahoma" w:cs="Tahoma"/>
          <w:color w:val="2C2B2B"/>
          <w:sz w:val="18"/>
          <w:szCs w:val="18"/>
          <w:lang w:eastAsia="en-AU"/>
        </w:rPr>
        <w:t>Australian Ethical – Australia’s only green, ethical coal-free superannuation company gives over $100,000 each year to eligible non-profits and community projects in the sustainability and social justice sector.   </w:t>
      </w:r>
      <w:hyperlink r:id="rId8" w:history="1">
        <w:r w:rsidRPr="00E040F7">
          <w:rPr>
            <w:rFonts w:ascii="Tahoma" w:eastAsia="Times New Roman" w:hAnsi="Tahoma" w:cs="Tahoma"/>
            <w:color w:val="1772AF"/>
            <w:sz w:val="18"/>
            <w:szCs w:val="18"/>
            <w:lang w:eastAsia="en-AU"/>
          </w:rPr>
          <w:t>Applications </w:t>
        </w:r>
      </w:hyperlink>
      <w:r w:rsidRPr="00E040F7">
        <w:rPr>
          <w:rFonts w:ascii="Tahoma" w:eastAsia="Times New Roman" w:hAnsi="Tahoma" w:cs="Tahoma"/>
          <w:color w:val="2C2B2B"/>
          <w:sz w:val="18"/>
          <w:szCs w:val="18"/>
          <w:lang w:eastAsia="en-AU"/>
        </w:rPr>
        <w:t>are open until 1st June.</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9" w:tooltip="Honda Foundation" w:history="1">
        <w:r w:rsidRPr="00E040F7">
          <w:rPr>
            <w:rFonts w:ascii="Tahoma" w:eastAsia="Times New Roman" w:hAnsi="Tahoma" w:cs="Tahoma"/>
            <w:color w:val="1772AF"/>
            <w:sz w:val="18"/>
            <w:szCs w:val="18"/>
            <w:lang w:eastAsia="en-AU"/>
          </w:rPr>
          <w:t>Honda Foundation</w:t>
        </w:r>
      </w:hyperlink>
      <w:r w:rsidRPr="00E040F7">
        <w:rPr>
          <w:rFonts w:ascii="Tahoma" w:eastAsia="Times New Roman" w:hAnsi="Tahoma" w:cs="Tahoma"/>
          <w:color w:val="2C2B2B"/>
          <w:sz w:val="18"/>
          <w:szCs w:val="18"/>
          <w:lang w:eastAsia="en-AU"/>
        </w:rPr>
        <w:t xml:space="preserve"> Supporting organisations </w:t>
      </w:r>
      <w:proofErr w:type="gramStart"/>
      <w:r w:rsidRPr="00E040F7">
        <w:rPr>
          <w:rFonts w:ascii="Tahoma" w:eastAsia="Times New Roman" w:hAnsi="Tahoma" w:cs="Tahoma"/>
          <w:color w:val="2C2B2B"/>
          <w:sz w:val="18"/>
          <w:szCs w:val="18"/>
          <w:lang w:eastAsia="en-AU"/>
        </w:rPr>
        <w:t>who</w:t>
      </w:r>
      <w:proofErr w:type="gramEnd"/>
      <w:r w:rsidRPr="00E040F7">
        <w:rPr>
          <w:rFonts w:ascii="Tahoma" w:eastAsia="Times New Roman" w:hAnsi="Tahoma" w:cs="Tahoma"/>
          <w:color w:val="2C2B2B"/>
          <w:sz w:val="18"/>
          <w:szCs w:val="18"/>
          <w:lang w:eastAsia="en-AU"/>
        </w:rPr>
        <w:t xml:space="preserve"> focus on the disadvantaged, disabled or those suffering from long term illness.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0" w:history="1">
        <w:proofErr w:type="spellStart"/>
        <w:r w:rsidRPr="00E040F7">
          <w:rPr>
            <w:rFonts w:ascii="Tahoma" w:eastAsia="Times New Roman" w:hAnsi="Tahoma" w:cs="Tahoma"/>
            <w:color w:val="1772AF"/>
            <w:sz w:val="18"/>
            <w:szCs w:val="18"/>
            <w:lang w:eastAsia="en-AU"/>
          </w:rPr>
          <w:t>Fullbright</w:t>
        </w:r>
        <w:proofErr w:type="spellEnd"/>
        <w:r w:rsidRPr="00E040F7">
          <w:rPr>
            <w:rFonts w:ascii="Tahoma" w:eastAsia="Times New Roman" w:hAnsi="Tahoma" w:cs="Tahoma"/>
            <w:color w:val="1772AF"/>
            <w:sz w:val="18"/>
            <w:szCs w:val="18"/>
            <w:lang w:eastAsia="en-AU"/>
          </w:rPr>
          <w:t xml:space="preserve"> Scholarships</w:t>
        </w:r>
      </w:hyperlink>
      <w:r w:rsidRPr="00E040F7">
        <w:rPr>
          <w:rFonts w:ascii="Tahoma" w:eastAsia="Times New Roman" w:hAnsi="Tahoma" w:cs="Tahoma"/>
          <w:color w:val="2C2B2B"/>
          <w:sz w:val="18"/>
          <w:szCs w:val="18"/>
          <w:lang w:eastAsia="en-AU"/>
        </w:rPr>
        <w:t>: Annual travel scholarships available from any field of study in the Postgraduate, Postdoctoral, Professional and Senior Scholars categories. Value: between USD$30</w:t>
      </w:r>
      <w:proofErr w:type="gramStart"/>
      <w:r w:rsidRPr="00E040F7">
        <w:rPr>
          <w:rFonts w:ascii="Tahoma" w:eastAsia="Times New Roman" w:hAnsi="Tahoma" w:cs="Tahoma"/>
          <w:color w:val="2C2B2B"/>
          <w:sz w:val="18"/>
          <w:szCs w:val="18"/>
          <w:lang w:eastAsia="en-AU"/>
        </w:rPr>
        <w:t>,00</w:t>
      </w:r>
      <w:proofErr w:type="gramEnd"/>
      <w:r w:rsidRPr="00E040F7">
        <w:rPr>
          <w:rFonts w:ascii="Tahoma" w:eastAsia="Times New Roman" w:hAnsi="Tahoma" w:cs="Tahoma"/>
          <w:color w:val="2C2B2B"/>
          <w:sz w:val="18"/>
          <w:szCs w:val="18"/>
          <w:lang w:eastAsia="en-AU"/>
        </w:rPr>
        <w:t xml:space="preserve"> - USD$64,000</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1" w:tgtFrame="_blank" w:tooltip="Invergowrie Foundation" w:history="1">
        <w:r w:rsidRPr="00E040F7">
          <w:rPr>
            <w:rFonts w:ascii="Tahoma" w:eastAsia="Times New Roman" w:hAnsi="Tahoma" w:cs="Tahoma"/>
            <w:color w:val="1772AF"/>
            <w:sz w:val="18"/>
            <w:szCs w:val="18"/>
            <w:lang w:eastAsia="en-AU"/>
          </w:rPr>
          <w:t>Invergowrie Foundation</w:t>
        </w:r>
      </w:hyperlink>
      <w:r w:rsidRPr="00E040F7">
        <w:rPr>
          <w:rFonts w:ascii="Tahoma" w:eastAsia="Times New Roman" w:hAnsi="Tahoma" w:cs="Tahoma"/>
          <w:color w:val="2C2B2B"/>
          <w:sz w:val="18"/>
          <w:szCs w:val="18"/>
          <w:lang w:eastAsia="en-AU"/>
        </w:rPr>
        <w:t xml:space="preserve"> Provides grants for Victorian organisations </w:t>
      </w:r>
      <w:proofErr w:type="gramStart"/>
      <w:r w:rsidRPr="00E040F7">
        <w:rPr>
          <w:rFonts w:ascii="Tahoma" w:eastAsia="Times New Roman" w:hAnsi="Tahoma" w:cs="Tahoma"/>
          <w:color w:val="2C2B2B"/>
          <w:sz w:val="18"/>
          <w:szCs w:val="18"/>
          <w:lang w:eastAsia="en-AU"/>
        </w:rPr>
        <w:t>who</w:t>
      </w:r>
      <w:proofErr w:type="gramEnd"/>
      <w:r w:rsidRPr="00E040F7">
        <w:rPr>
          <w:rFonts w:ascii="Tahoma" w:eastAsia="Times New Roman" w:hAnsi="Tahoma" w:cs="Tahoma"/>
          <w:color w:val="2C2B2B"/>
          <w:sz w:val="18"/>
          <w:szCs w:val="18"/>
          <w:lang w:eastAsia="en-AU"/>
        </w:rPr>
        <w:t xml:space="preserve"> provide development, excellence or leadership opportunities for women and girls.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2" w:tooltip="Foundation for Young Australians" w:history="1">
        <w:r w:rsidRPr="00E040F7">
          <w:rPr>
            <w:rFonts w:ascii="Tahoma" w:eastAsia="Times New Roman" w:hAnsi="Tahoma" w:cs="Tahoma"/>
            <w:color w:val="1772AF"/>
            <w:sz w:val="18"/>
            <w:szCs w:val="18"/>
            <w:lang w:eastAsia="en-AU"/>
          </w:rPr>
          <w:t>The Foundation for Young Australians </w:t>
        </w:r>
      </w:hyperlink>
      <w:r w:rsidRPr="00E040F7">
        <w:rPr>
          <w:rFonts w:ascii="Tahoma" w:eastAsia="Times New Roman" w:hAnsi="Tahoma" w:cs="Tahoma"/>
          <w:color w:val="2C2B2B"/>
          <w:sz w:val="18"/>
          <w:szCs w:val="18"/>
          <w:lang w:eastAsia="en-AU"/>
        </w:rPr>
        <w:t>is a not-for-profit organisation committed to investing in excess of $3 million each year on providing opportunities for young people.</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3" w:tooltip="Myer Foundation" w:history="1">
        <w:r w:rsidRPr="00E040F7">
          <w:rPr>
            <w:rFonts w:ascii="Tahoma" w:eastAsia="Times New Roman" w:hAnsi="Tahoma" w:cs="Tahoma"/>
            <w:color w:val="1772AF"/>
            <w:sz w:val="18"/>
            <w:szCs w:val="18"/>
            <w:lang w:eastAsia="en-AU"/>
          </w:rPr>
          <w:t>The Myer Foundation and The Sidney Myer Fund</w:t>
        </w:r>
      </w:hyperlink>
      <w:r w:rsidRPr="00E040F7">
        <w:rPr>
          <w:rFonts w:ascii="Tahoma" w:eastAsia="Times New Roman" w:hAnsi="Tahoma" w:cs="Tahoma"/>
          <w:color w:val="2C2B2B"/>
          <w:sz w:val="18"/>
          <w:szCs w:val="18"/>
          <w:lang w:eastAsia="en-AU"/>
        </w:rPr>
        <w:t> aims to build a fair, just, creative, sustainable and caring society by supporting initiatives that promote positive change in Australia, and in relation to its regional setting.</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4" w:tooltip="NFAW" w:history="1">
        <w:r w:rsidRPr="00E040F7">
          <w:rPr>
            <w:rFonts w:ascii="Tahoma" w:eastAsia="Times New Roman" w:hAnsi="Tahoma" w:cs="Tahoma"/>
            <w:color w:val="1772AF"/>
            <w:sz w:val="18"/>
            <w:szCs w:val="18"/>
            <w:lang w:eastAsia="en-AU"/>
          </w:rPr>
          <w:t>National Foundation for Australian Women</w:t>
        </w:r>
      </w:hyperlink>
      <w:r w:rsidRPr="00E040F7">
        <w:rPr>
          <w:rFonts w:ascii="Tahoma" w:eastAsia="Times New Roman" w:hAnsi="Tahoma" w:cs="Tahoma"/>
          <w:color w:val="2C2B2B"/>
          <w:sz w:val="18"/>
          <w:szCs w:val="18"/>
          <w:lang w:eastAsia="en-AU"/>
        </w:rPr>
        <w:t> NFAW is a feminist organisation, independent of party politics and working in partnership with other women’s organisations. A list of organisations that includes those committed to increasing support for women in Australia as well as those with a special interest in women’s history.</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5" w:tooltip="NRMA Community Grants" w:history="1">
        <w:r w:rsidRPr="00E040F7">
          <w:rPr>
            <w:rFonts w:ascii="Tahoma" w:eastAsia="Times New Roman" w:hAnsi="Tahoma" w:cs="Tahoma"/>
            <w:color w:val="1772AF"/>
            <w:sz w:val="18"/>
            <w:szCs w:val="18"/>
            <w:lang w:eastAsia="en-AU"/>
          </w:rPr>
          <w:t xml:space="preserve">NRMA Insurance </w:t>
        </w:r>
        <w:proofErr w:type="spellStart"/>
        <w:r w:rsidRPr="00E040F7">
          <w:rPr>
            <w:rFonts w:ascii="Tahoma" w:eastAsia="Times New Roman" w:hAnsi="Tahoma" w:cs="Tahoma"/>
            <w:color w:val="1772AF"/>
            <w:sz w:val="18"/>
            <w:szCs w:val="18"/>
            <w:lang w:eastAsia="en-AU"/>
          </w:rPr>
          <w:t>communityhelp</w:t>
        </w:r>
        <w:proofErr w:type="spellEnd"/>
        <w:r w:rsidRPr="00E040F7">
          <w:rPr>
            <w:rFonts w:ascii="Tahoma" w:eastAsia="Times New Roman" w:hAnsi="Tahoma" w:cs="Tahoma"/>
            <w:color w:val="1772AF"/>
            <w:sz w:val="18"/>
            <w:szCs w:val="18"/>
            <w:lang w:eastAsia="en-AU"/>
          </w:rPr>
          <w:t xml:space="preserve"> grants</w:t>
        </w:r>
      </w:hyperlink>
      <w:r w:rsidRPr="00E040F7">
        <w:rPr>
          <w:rFonts w:ascii="Tahoma" w:eastAsia="Times New Roman" w:hAnsi="Tahoma" w:cs="Tahoma"/>
          <w:color w:val="2C2B2B"/>
          <w:sz w:val="18"/>
          <w:szCs w:val="18"/>
          <w:lang w:eastAsia="en-AU"/>
        </w:rPr>
        <w:t>:  grants for crime and injury prevention, emergency services and the environment. In South Australia the program operates under SGIO</w:t>
      </w:r>
      <w:proofErr w:type="gramStart"/>
      <w:r w:rsidRPr="00E040F7">
        <w:rPr>
          <w:rFonts w:ascii="Tahoma" w:eastAsia="Times New Roman" w:hAnsi="Tahoma" w:cs="Tahoma"/>
          <w:color w:val="2C2B2B"/>
          <w:sz w:val="18"/>
          <w:szCs w:val="18"/>
          <w:lang w:eastAsia="en-AU"/>
        </w:rPr>
        <w:t>  and</w:t>
      </w:r>
      <w:proofErr w:type="gramEnd"/>
      <w:r w:rsidRPr="00E040F7">
        <w:rPr>
          <w:rFonts w:ascii="Tahoma" w:eastAsia="Times New Roman" w:hAnsi="Tahoma" w:cs="Tahoma"/>
          <w:color w:val="2C2B2B"/>
          <w:sz w:val="18"/>
          <w:szCs w:val="18"/>
          <w:lang w:eastAsia="en-AU"/>
        </w:rPr>
        <w:t xml:space="preserve"> in Western Australia under SGIC.</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6" w:tooltip="Perpetual Trustees" w:history="1">
        <w:r w:rsidRPr="00E040F7">
          <w:rPr>
            <w:rFonts w:ascii="Tahoma" w:eastAsia="Times New Roman" w:hAnsi="Tahoma" w:cs="Tahoma"/>
            <w:color w:val="1772AF"/>
            <w:sz w:val="18"/>
            <w:szCs w:val="18"/>
            <w:lang w:eastAsia="en-AU"/>
          </w:rPr>
          <w:t>Perpetual Trustees Australia</w:t>
        </w:r>
      </w:hyperlink>
      <w:r w:rsidRPr="00E040F7">
        <w:rPr>
          <w:rFonts w:ascii="Tahoma" w:eastAsia="Times New Roman" w:hAnsi="Tahoma" w:cs="Tahoma"/>
          <w:color w:val="2C2B2B"/>
          <w:sz w:val="18"/>
          <w:szCs w:val="18"/>
          <w:lang w:eastAsia="en-AU"/>
        </w:rPr>
        <w:t> Perpetual is trustee or co-trustee of nearly 400 charitable trusts valued at over $1 billion. Perpetual receives over 1,000 applications annually for funding from not-for-profit groups and distributes close to $40 million each year.</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7" w:tooltip="Ian Potter Foundation" w:history="1">
        <w:r w:rsidRPr="00E040F7">
          <w:rPr>
            <w:rFonts w:ascii="Tahoma" w:eastAsia="Times New Roman" w:hAnsi="Tahoma" w:cs="Tahoma"/>
            <w:color w:val="1772AF"/>
            <w:sz w:val="18"/>
            <w:szCs w:val="18"/>
            <w:lang w:eastAsia="en-AU"/>
          </w:rPr>
          <w:t>The Ian Potter Foundation</w:t>
        </w:r>
      </w:hyperlink>
      <w:r w:rsidRPr="00E040F7">
        <w:rPr>
          <w:rFonts w:ascii="Tahoma" w:eastAsia="Times New Roman" w:hAnsi="Tahoma" w:cs="Tahoma"/>
          <w:color w:val="2C2B2B"/>
          <w:sz w:val="18"/>
          <w:szCs w:val="18"/>
          <w:lang w:eastAsia="en-AU"/>
        </w:rPr>
        <w:t> provides grants for general charitable purposes in Australia. Their areas of interest are the arts, education, environment and conservation, health, social welfare, science and medical research. They also have a small travel grants program.</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8" w:tooltip="Reichstein Foundation" w:history="1">
        <w:r w:rsidRPr="00E040F7">
          <w:rPr>
            <w:rFonts w:ascii="Tahoma" w:eastAsia="Times New Roman" w:hAnsi="Tahoma" w:cs="Tahoma"/>
            <w:color w:val="1772AF"/>
            <w:sz w:val="18"/>
            <w:szCs w:val="18"/>
            <w:lang w:eastAsia="en-AU"/>
          </w:rPr>
          <w:t>The Reichstein Foundation</w:t>
        </w:r>
      </w:hyperlink>
      <w:r w:rsidRPr="00E040F7">
        <w:rPr>
          <w:rFonts w:ascii="Tahoma" w:eastAsia="Times New Roman" w:hAnsi="Tahoma" w:cs="Tahoma"/>
          <w:color w:val="2C2B2B"/>
          <w:sz w:val="18"/>
          <w:szCs w:val="18"/>
          <w:lang w:eastAsia="en-AU"/>
        </w:rPr>
        <w:t> funds projects which effect structural change to redress the disadvantage experienced by particular communities. Structural change projects are the priority.</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19" w:history="1">
        <w:r w:rsidRPr="00E040F7">
          <w:rPr>
            <w:rFonts w:ascii="Tahoma" w:eastAsia="Times New Roman" w:hAnsi="Tahoma" w:cs="Tahoma"/>
            <w:color w:val="1772AF"/>
            <w:sz w:val="18"/>
            <w:szCs w:val="18"/>
            <w:lang w:eastAsia="en-AU"/>
          </w:rPr>
          <w:t>The Scanlon Foundation</w:t>
        </w:r>
      </w:hyperlink>
      <w:r w:rsidRPr="00E040F7">
        <w:rPr>
          <w:rFonts w:ascii="Tahoma" w:eastAsia="Times New Roman" w:hAnsi="Tahoma" w:cs="Tahoma"/>
          <w:color w:val="2C2B2B"/>
          <w:sz w:val="18"/>
          <w:szCs w:val="18"/>
          <w:lang w:eastAsia="en-AU"/>
        </w:rPr>
        <w:t> funds eligible organisations (with Deductible Gift Recipient status) through Grant Giving for innovative and creative projects, with a focus on Cultural Diversity and Social Cohesion,</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0" w:history="1">
        <w:r w:rsidRPr="00E040F7">
          <w:rPr>
            <w:rFonts w:ascii="Tahoma" w:eastAsia="Times New Roman" w:hAnsi="Tahoma" w:cs="Tahoma"/>
            <w:color w:val="1772AF"/>
            <w:sz w:val="18"/>
            <w:szCs w:val="18"/>
            <w:lang w:eastAsia="en-AU"/>
          </w:rPr>
          <w:t>Trinity Families</w:t>
        </w:r>
      </w:hyperlink>
      <w:r w:rsidRPr="00E040F7">
        <w:rPr>
          <w:rFonts w:ascii="Tahoma" w:eastAsia="Times New Roman" w:hAnsi="Tahoma" w:cs="Tahoma"/>
          <w:color w:val="2C2B2B"/>
          <w:sz w:val="18"/>
          <w:szCs w:val="18"/>
          <w:lang w:eastAsia="en-AU"/>
        </w:rPr>
        <w:t>, a public ancillary fund,</w:t>
      </w:r>
      <w:proofErr w:type="gramStart"/>
      <w:r w:rsidRPr="00E040F7">
        <w:rPr>
          <w:rFonts w:ascii="Tahoma" w:eastAsia="Times New Roman" w:hAnsi="Tahoma" w:cs="Tahoma"/>
          <w:color w:val="2C2B2B"/>
          <w:sz w:val="18"/>
          <w:szCs w:val="18"/>
          <w:lang w:eastAsia="en-AU"/>
        </w:rPr>
        <w:t>  makes</w:t>
      </w:r>
      <w:proofErr w:type="gramEnd"/>
      <w:r w:rsidRPr="00E040F7">
        <w:rPr>
          <w:rFonts w:ascii="Tahoma" w:eastAsia="Times New Roman" w:hAnsi="Tahoma" w:cs="Tahoma"/>
          <w:color w:val="2C2B2B"/>
          <w:sz w:val="18"/>
          <w:szCs w:val="18"/>
          <w:lang w:eastAsia="en-AU"/>
        </w:rPr>
        <w:t xml:space="preserve"> annual allocations to charities with DGR status to run programs and provide facilities to assist families in the Greater Gippsland area of Victoria. Monies allocated must be spent in the area covered by the Cities of Casey and Latrobe, and Shires of Bass Coast, Cardinia, South Gippsland, Baw </w:t>
      </w:r>
      <w:proofErr w:type="spellStart"/>
      <w:r w:rsidRPr="00E040F7">
        <w:rPr>
          <w:rFonts w:ascii="Tahoma" w:eastAsia="Times New Roman" w:hAnsi="Tahoma" w:cs="Tahoma"/>
          <w:color w:val="2C2B2B"/>
          <w:sz w:val="18"/>
          <w:szCs w:val="18"/>
          <w:lang w:eastAsia="en-AU"/>
        </w:rPr>
        <w:t>Baw</w:t>
      </w:r>
      <w:proofErr w:type="spellEnd"/>
      <w:r w:rsidRPr="00E040F7">
        <w:rPr>
          <w:rFonts w:ascii="Tahoma" w:eastAsia="Times New Roman" w:hAnsi="Tahoma" w:cs="Tahoma"/>
          <w:color w:val="2C2B2B"/>
          <w:sz w:val="18"/>
          <w:szCs w:val="18"/>
          <w:lang w:eastAsia="en-AU"/>
        </w:rPr>
        <w:t xml:space="preserve">, Wellington and East Gippsland. Applications for funding are called in June each year, closing the end of August, and successful applicants are usually able to be given funds by the end of October.  </w:t>
      </w:r>
      <w:proofErr w:type="gramStart"/>
      <w:r w:rsidRPr="00E040F7">
        <w:rPr>
          <w:rFonts w:ascii="Tahoma" w:eastAsia="Times New Roman" w:hAnsi="Tahoma" w:cs="Tahoma"/>
          <w:color w:val="2C2B2B"/>
          <w:sz w:val="18"/>
          <w:szCs w:val="18"/>
          <w:lang w:eastAsia="en-AU"/>
        </w:rPr>
        <w:t>Further details available at www.trinityfamilies.org.au and www.sale.catholic.org.au.</w:t>
      </w:r>
      <w:proofErr w:type="gramEnd"/>
      <w:r w:rsidRPr="00E040F7">
        <w:rPr>
          <w:rFonts w:ascii="Tahoma" w:eastAsia="Times New Roman" w:hAnsi="Tahoma" w:cs="Tahoma"/>
          <w:color w:val="2C2B2B"/>
          <w:sz w:val="18"/>
          <w:szCs w:val="18"/>
          <w:lang w:eastAsia="en-AU"/>
        </w:rPr>
        <w:t xml:space="preserve">  You can contact the Executive Officer: Colin </w:t>
      </w:r>
      <w:proofErr w:type="spellStart"/>
      <w:r w:rsidRPr="00E040F7">
        <w:rPr>
          <w:rFonts w:ascii="Tahoma" w:eastAsia="Times New Roman" w:hAnsi="Tahoma" w:cs="Tahoma"/>
          <w:color w:val="2C2B2B"/>
          <w:sz w:val="18"/>
          <w:szCs w:val="18"/>
          <w:lang w:eastAsia="en-AU"/>
        </w:rPr>
        <w:t>Coomber</w:t>
      </w:r>
      <w:proofErr w:type="spellEnd"/>
      <w:r w:rsidRPr="00E040F7">
        <w:rPr>
          <w:rFonts w:ascii="Tahoma" w:eastAsia="Times New Roman" w:hAnsi="Tahoma" w:cs="Tahoma"/>
          <w:color w:val="2C2B2B"/>
          <w:sz w:val="18"/>
          <w:szCs w:val="18"/>
          <w:lang w:eastAsia="en-AU"/>
        </w:rPr>
        <w:t xml:space="preserve"> Phone (03) 5622 6688; Email: trinity AT sale.catholic.org.au</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1" w:tooltip="Winston Churchill Memorial Trust" w:history="1">
        <w:r w:rsidRPr="00E040F7">
          <w:rPr>
            <w:rFonts w:ascii="Tahoma" w:eastAsia="Times New Roman" w:hAnsi="Tahoma" w:cs="Tahoma"/>
            <w:color w:val="1772AF"/>
            <w:sz w:val="18"/>
            <w:szCs w:val="18"/>
            <w:lang w:eastAsia="en-AU"/>
          </w:rPr>
          <w:t xml:space="preserve">The Winston Churchill Memorial </w:t>
        </w:r>
        <w:proofErr w:type="gramStart"/>
        <w:r w:rsidRPr="00E040F7">
          <w:rPr>
            <w:rFonts w:ascii="Tahoma" w:eastAsia="Times New Roman" w:hAnsi="Tahoma" w:cs="Tahoma"/>
            <w:color w:val="1772AF"/>
            <w:sz w:val="18"/>
            <w:szCs w:val="18"/>
            <w:lang w:eastAsia="en-AU"/>
          </w:rPr>
          <w:t>Trust</w:t>
        </w:r>
      </w:hyperlink>
      <w:r w:rsidRPr="00E040F7">
        <w:rPr>
          <w:rFonts w:ascii="Tahoma" w:eastAsia="Times New Roman" w:hAnsi="Tahoma" w:cs="Tahoma"/>
          <w:color w:val="2C2B2B"/>
          <w:sz w:val="18"/>
          <w:szCs w:val="18"/>
          <w:lang w:eastAsia="en-AU"/>
        </w:rPr>
        <w:t> The</w:t>
      </w:r>
      <w:proofErr w:type="gramEnd"/>
      <w:r w:rsidRPr="00E040F7">
        <w:rPr>
          <w:rFonts w:ascii="Tahoma" w:eastAsia="Times New Roman" w:hAnsi="Tahoma" w:cs="Tahoma"/>
          <w:color w:val="2C2B2B"/>
          <w:sz w:val="18"/>
          <w:szCs w:val="18"/>
          <w:lang w:eastAsia="en-AU"/>
        </w:rPr>
        <w:t xml:space="preserve"> Trust provides financial support to individuals looking to undertake study in their chosen field. It is different from most other scholarship programs in that it does not require the study contribute to formal qualifications and is open to all people irrespective of academic background.</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r w:rsidRPr="00E040F7">
        <w:rPr>
          <w:rFonts w:ascii="Tahoma" w:eastAsia="Times New Roman" w:hAnsi="Tahoma" w:cs="Tahoma"/>
          <w:b/>
          <w:bCs/>
          <w:color w:val="2C2B2B"/>
          <w:sz w:val="18"/>
          <w:szCs w:val="18"/>
          <w:lang w:eastAsia="en-AU"/>
        </w:rPr>
        <w:t>Other resources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2" w:history="1">
        <w:proofErr w:type="spellStart"/>
        <w:r w:rsidRPr="00E040F7">
          <w:rPr>
            <w:rFonts w:ascii="Tahoma" w:eastAsia="Times New Roman" w:hAnsi="Tahoma" w:cs="Tahoma"/>
            <w:color w:val="1772AF"/>
            <w:sz w:val="18"/>
            <w:szCs w:val="18"/>
            <w:lang w:eastAsia="en-AU"/>
          </w:rPr>
          <w:t>Busigrants</w:t>
        </w:r>
        <w:proofErr w:type="spellEnd"/>
      </w:hyperlink>
      <w:r w:rsidRPr="00E040F7">
        <w:rPr>
          <w:rFonts w:ascii="Tahoma" w:eastAsia="Times New Roman" w:hAnsi="Tahoma" w:cs="Tahoma"/>
          <w:color w:val="2C2B2B"/>
          <w:sz w:val="18"/>
          <w:szCs w:val="18"/>
          <w:lang w:eastAsia="en-AU"/>
        </w:rPr>
        <w:t>: Published 12 newsletters per annual – paid subscription service that details local, state and federal grants available for businesses.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3" w:tooltip="Community Builders NSW" w:history="1">
        <w:proofErr w:type="spellStart"/>
        <w:r w:rsidRPr="00E040F7">
          <w:rPr>
            <w:rFonts w:ascii="Tahoma" w:eastAsia="Times New Roman" w:hAnsi="Tahoma" w:cs="Tahoma"/>
            <w:color w:val="1772AF"/>
            <w:sz w:val="18"/>
            <w:szCs w:val="18"/>
            <w:lang w:eastAsia="en-AU"/>
          </w:rPr>
          <w:t>Communitybuilders</w:t>
        </w:r>
        <w:proofErr w:type="spellEnd"/>
        <w:r w:rsidRPr="00E040F7">
          <w:rPr>
            <w:rFonts w:ascii="Tahoma" w:eastAsia="Times New Roman" w:hAnsi="Tahoma" w:cs="Tahoma"/>
            <w:color w:val="1772AF"/>
            <w:sz w:val="18"/>
            <w:szCs w:val="18"/>
            <w:lang w:eastAsia="en-AU"/>
          </w:rPr>
          <w:t xml:space="preserve"> </w:t>
        </w:r>
        <w:proofErr w:type="gramStart"/>
        <w:r w:rsidRPr="00E040F7">
          <w:rPr>
            <w:rFonts w:ascii="Tahoma" w:eastAsia="Times New Roman" w:hAnsi="Tahoma" w:cs="Tahoma"/>
            <w:color w:val="1772AF"/>
            <w:sz w:val="18"/>
            <w:szCs w:val="18"/>
            <w:lang w:eastAsia="en-AU"/>
          </w:rPr>
          <w:t>NSW</w:t>
        </w:r>
      </w:hyperlink>
      <w:r w:rsidRPr="00E040F7">
        <w:rPr>
          <w:rFonts w:ascii="Tahoma" w:eastAsia="Times New Roman" w:hAnsi="Tahoma" w:cs="Tahoma"/>
          <w:color w:val="2C2B2B"/>
          <w:sz w:val="18"/>
          <w:szCs w:val="18"/>
          <w:lang w:eastAsia="en-AU"/>
        </w:rPr>
        <w:t> A</w:t>
      </w:r>
      <w:proofErr w:type="gramEnd"/>
      <w:r w:rsidRPr="00E040F7">
        <w:rPr>
          <w:rFonts w:ascii="Tahoma" w:eastAsia="Times New Roman" w:hAnsi="Tahoma" w:cs="Tahoma"/>
          <w:color w:val="2C2B2B"/>
          <w:sz w:val="18"/>
          <w:szCs w:val="18"/>
          <w:lang w:eastAsia="en-AU"/>
        </w:rPr>
        <w:t xml:space="preserve"> NSW Government website that contains links to funding organisations and valuable information for organisations seeking funding.</w:t>
      </w:r>
    </w:p>
    <w:p w:rsidR="000A0294"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4" w:tooltip="Community Foundations Gateway" w:history="1">
        <w:r w:rsidRPr="00E040F7">
          <w:rPr>
            <w:rFonts w:ascii="Tahoma" w:eastAsia="Times New Roman" w:hAnsi="Tahoma" w:cs="Tahoma"/>
            <w:color w:val="1772AF"/>
            <w:sz w:val="18"/>
            <w:szCs w:val="18"/>
            <w:lang w:eastAsia="en-AU"/>
          </w:rPr>
          <w:t>Community Foundations Gateway</w:t>
        </w:r>
      </w:hyperlink>
      <w:r w:rsidRPr="00E040F7">
        <w:rPr>
          <w:rFonts w:ascii="Tahoma" w:eastAsia="Times New Roman" w:hAnsi="Tahoma" w:cs="Tahoma"/>
          <w:color w:val="2C2B2B"/>
          <w:sz w:val="18"/>
          <w:szCs w:val="18"/>
          <w:lang w:eastAsia="en-AU"/>
        </w:rPr>
        <w:t xml:space="preserve"> A joint project of Philanthropy Australia, the Foundation for Rural and Regional Renewal and Community Foundations of Australasia </w:t>
      </w:r>
      <w:proofErr w:type="spellStart"/>
      <w:r w:rsidRPr="00E040F7">
        <w:rPr>
          <w:rFonts w:ascii="Tahoma" w:eastAsia="Times New Roman" w:hAnsi="Tahoma" w:cs="Tahoma"/>
          <w:color w:val="2C2B2B"/>
          <w:sz w:val="18"/>
          <w:szCs w:val="18"/>
          <w:lang w:eastAsia="en-AU"/>
        </w:rPr>
        <w:t>Inc</w:t>
      </w:r>
      <w:proofErr w:type="spellEnd"/>
      <w:r w:rsidRPr="00E040F7">
        <w:rPr>
          <w:rFonts w:ascii="Tahoma" w:eastAsia="Times New Roman" w:hAnsi="Tahoma" w:cs="Tahoma"/>
          <w:color w:val="2C2B2B"/>
          <w:sz w:val="18"/>
          <w:szCs w:val="18"/>
          <w:lang w:eastAsia="en-AU"/>
        </w:rPr>
        <w:t>; the Community Foundation Gateway is a comprehensive source of information for those involved in, researching, or interested in becoming involved in community foundations in Australia.</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5" w:tooltip="Foundation for Rural and Regional Renewal" w:history="1">
        <w:r w:rsidRPr="00A83086">
          <w:rPr>
            <w:rFonts w:ascii="Tahoma" w:eastAsia="Times New Roman" w:hAnsi="Tahoma" w:cs="Tahoma"/>
            <w:color w:val="1772AF"/>
            <w:sz w:val="18"/>
            <w:szCs w:val="18"/>
            <w:lang w:eastAsia="en-AU"/>
          </w:rPr>
          <w:t>The Foundation for Rural and Regional Renewal</w:t>
        </w:r>
      </w:hyperlink>
      <w:r w:rsidRPr="00A83086">
        <w:rPr>
          <w:rFonts w:ascii="Tahoma" w:eastAsia="Times New Roman" w:hAnsi="Tahoma" w:cs="Tahoma"/>
          <w:color w:val="2C2B2B"/>
          <w:sz w:val="18"/>
          <w:szCs w:val="18"/>
          <w:lang w:eastAsia="en-AU"/>
        </w:rPr>
        <w:t> </w:t>
      </w:r>
      <w:r w:rsidRPr="00E040F7">
        <w:rPr>
          <w:rFonts w:ascii="Tahoma" w:eastAsia="Times New Roman" w:hAnsi="Tahoma" w:cs="Tahoma"/>
          <w:color w:val="2C2B2B"/>
          <w:sz w:val="18"/>
          <w:szCs w:val="18"/>
          <w:lang w:eastAsia="en-AU"/>
        </w:rPr>
        <w:t>is a special initiative of the Sidney Myer Centenary Celebration in partnership with the Federal Minister for Transport and Regional Services and corporate Australia. FRRR aims to take a leadership role in assisting regional, rural and remote communities to respond to social, cultural and economic change.</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6" w:tooltip="Givewell" w:history="1">
        <w:proofErr w:type="spellStart"/>
        <w:r w:rsidRPr="00E040F7">
          <w:rPr>
            <w:rFonts w:ascii="Tahoma" w:eastAsia="Times New Roman" w:hAnsi="Tahoma" w:cs="Tahoma"/>
            <w:color w:val="1772AF"/>
            <w:sz w:val="18"/>
            <w:szCs w:val="18"/>
            <w:lang w:eastAsia="en-AU"/>
          </w:rPr>
          <w:t>Givewell</w:t>
        </w:r>
        <w:proofErr w:type="spellEnd"/>
      </w:hyperlink>
      <w:r w:rsidRPr="00E040F7">
        <w:rPr>
          <w:rFonts w:ascii="Tahoma" w:eastAsia="Times New Roman" w:hAnsi="Tahoma" w:cs="Tahoma"/>
          <w:color w:val="2C2B2B"/>
          <w:sz w:val="18"/>
          <w:szCs w:val="18"/>
          <w:lang w:eastAsia="en-AU"/>
        </w:rPr>
        <w:t> provides a comprehensive database of Australian charities, giving strategies, bequests, charitable trusts and corporate philanthropy, as well as links to charities and related sites.</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7" w:tooltip="GrantsLink" w:history="1">
        <w:proofErr w:type="spellStart"/>
        <w:proofErr w:type="gramStart"/>
        <w:r w:rsidRPr="00E040F7">
          <w:rPr>
            <w:rFonts w:ascii="Tahoma" w:eastAsia="Times New Roman" w:hAnsi="Tahoma" w:cs="Tahoma"/>
            <w:color w:val="1772AF"/>
            <w:sz w:val="18"/>
            <w:szCs w:val="18"/>
            <w:lang w:eastAsia="en-AU"/>
          </w:rPr>
          <w:t>Grantslink</w:t>
        </w:r>
        <w:proofErr w:type="spellEnd"/>
      </w:hyperlink>
      <w:r w:rsidRPr="00E040F7">
        <w:rPr>
          <w:rFonts w:ascii="Tahoma" w:eastAsia="Times New Roman" w:hAnsi="Tahoma" w:cs="Tahoma"/>
          <w:color w:val="2C2B2B"/>
          <w:sz w:val="18"/>
          <w:szCs w:val="18"/>
          <w:lang w:eastAsia="en-AU"/>
        </w:rPr>
        <w:t> A</w:t>
      </w:r>
      <w:proofErr w:type="gramEnd"/>
      <w:r w:rsidRPr="00E040F7">
        <w:rPr>
          <w:rFonts w:ascii="Tahoma" w:eastAsia="Times New Roman" w:hAnsi="Tahoma" w:cs="Tahoma"/>
          <w:color w:val="2C2B2B"/>
          <w:sz w:val="18"/>
          <w:szCs w:val="18"/>
          <w:lang w:eastAsia="en-AU"/>
        </w:rPr>
        <w:t xml:space="preserve"> Commonwealth Government website that helps you to find funding available under a variety of grant programs for individuals, businesses and communities to help you to develop solutions to local and national problems, fund ideas and initiatives or provide assistance in times of hardship. Grants are listed by interest area</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8" w:tooltip="Grant Search Australia" w:history="1">
        <w:proofErr w:type="spellStart"/>
        <w:r w:rsidRPr="00E040F7">
          <w:rPr>
            <w:rFonts w:ascii="Tahoma" w:eastAsia="Times New Roman" w:hAnsi="Tahoma" w:cs="Tahoma"/>
            <w:color w:val="1772AF"/>
            <w:sz w:val="18"/>
            <w:szCs w:val="18"/>
            <w:lang w:eastAsia="en-AU"/>
          </w:rPr>
          <w:t>GrantsearchAustralia</w:t>
        </w:r>
        <w:proofErr w:type="spellEnd"/>
      </w:hyperlink>
      <w:r w:rsidRPr="00E040F7">
        <w:rPr>
          <w:rFonts w:ascii="Tahoma" w:eastAsia="Times New Roman" w:hAnsi="Tahoma" w:cs="Tahoma"/>
          <w:color w:val="2C2B2B"/>
          <w:sz w:val="18"/>
          <w:szCs w:val="18"/>
          <w:lang w:eastAsia="en-AU"/>
        </w:rPr>
        <w:t> publish the Grants Register.</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29" w:tooltip="Our Community" w:history="1">
        <w:proofErr w:type="spellStart"/>
        <w:r w:rsidRPr="00E040F7">
          <w:rPr>
            <w:rFonts w:ascii="Tahoma" w:eastAsia="Times New Roman" w:hAnsi="Tahoma" w:cs="Tahoma"/>
            <w:color w:val="1772AF"/>
            <w:sz w:val="18"/>
            <w:szCs w:val="18"/>
            <w:lang w:eastAsia="en-AU"/>
          </w:rPr>
          <w:t>Ourcommunity</w:t>
        </w:r>
        <w:proofErr w:type="spellEnd"/>
      </w:hyperlink>
      <w:r w:rsidRPr="00E040F7">
        <w:rPr>
          <w:rFonts w:ascii="Tahoma" w:eastAsia="Times New Roman" w:hAnsi="Tahoma" w:cs="Tahoma"/>
          <w:color w:val="2C2B2B"/>
          <w:sz w:val="18"/>
          <w:szCs w:val="18"/>
          <w:lang w:eastAsia="en-AU"/>
        </w:rPr>
        <w:t xml:space="preserve"> publish </w:t>
      </w:r>
      <w:proofErr w:type="spellStart"/>
      <w:r w:rsidRPr="00E040F7">
        <w:rPr>
          <w:rFonts w:ascii="Tahoma" w:eastAsia="Times New Roman" w:hAnsi="Tahoma" w:cs="Tahoma"/>
          <w:color w:val="2C2B2B"/>
          <w:sz w:val="18"/>
          <w:szCs w:val="18"/>
          <w:lang w:eastAsia="en-AU"/>
        </w:rPr>
        <w:t>EasyGrants</w:t>
      </w:r>
      <w:proofErr w:type="spellEnd"/>
      <w:r w:rsidRPr="00E040F7">
        <w:rPr>
          <w:rFonts w:ascii="Tahoma" w:eastAsia="Times New Roman" w:hAnsi="Tahoma" w:cs="Tahoma"/>
          <w:color w:val="2C2B2B"/>
          <w:sz w:val="18"/>
          <w:szCs w:val="18"/>
          <w:lang w:eastAsia="en-AU"/>
        </w:rPr>
        <w:t xml:space="preserve"> newsletter and provide a subscription database service.</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30" w:tooltip="Philanthropy Australia" w:history="1">
        <w:r w:rsidRPr="00E040F7">
          <w:rPr>
            <w:rFonts w:ascii="Tahoma" w:eastAsia="Times New Roman" w:hAnsi="Tahoma" w:cs="Tahoma"/>
            <w:color w:val="1772AF"/>
            <w:sz w:val="18"/>
            <w:szCs w:val="18"/>
            <w:lang w:eastAsia="en-AU"/>
          </w:rPr>
          <w:t>Philanthropy Australia</w:t>
        </w:r>
      </w:hyperlink>
      <w:r w:rsidRPr="00E040F7">
        <w:rPr>
          <w:rFonts w:ascii="Tahoma" w:eastAsia="Times New Roman" w:hAnsi="Tahoma" w:cs="Tahoma"/>
          <w:color w:val="2C2B2B"/>
          <w:sz w:val="18"/>
          <w:szCs w:val="18"/>
          <w:lang w:eastAsia="en-AU"/>
        </w:rPr>
        <w:t> publishes the Australian Directory of Philanthropy.</w:t>
      </w:r>
    </w:p>
    <w:p w:rsidR="000A0294" w:rsidRPr="00E040F7" w:rsidRDefault="000A0294" w:rsidP="000A0294">
      <w:pPr>
        <w:shd w:val="clear" w:color="auto" w:fill="FFFFFF"/>
        <w:spacing w:before="150" w:after="0" w:line="300" w:lineRule="atLeast"/>
        <w:rPr>
          <w:rFonts w:ascii="Tahoma" w:eastAsia="Times New Roman" w:hAnsi="Tahoma" w:cs="Tahoma"/>
          <w:color w:val="2C2B2B"/>
          <w:sz w:val="18"/>
          <w:szCs w:val="18"/>
          <w:lang w:eastAsia="en-AU"/>
        </w:rPr>
      </w:pPr>
      <w:hyperlink r:id="rId31" w:tooltip="Probono Australia" w:history="1">
        <w:r w:rsidRPr="00E040F7">
          <w:rPr>
            <w:rFonts w:ascii="Tahoma" w:eastAsia="Times New Roman" w:hAnsi="Tahoma" w:cs="Tahoma"/>
            <w:color w:val="1772AF"/>
            <w:sz w:val="18"/>
            <w:szCs w:val="18"/>
            <w:lang w:eastAsia="en-AU"/>
          </w:rPr>
          <w:t>Pro Bono Australia </w:t>
        </w:r>
      </w:hyperlink>
      <w:r w:rsidRPr="00E040F7">
        <w:rPr>
          <w:rFonts w:ascii="Tahoma" w:eastAsia="Times New Roman" w:hAnsi="Tahoma" w:cs="Tahoma"/>
          <w:color w:val="2C2B2B"/>
          <w:sz w:val="18"/>
          <w:szCs w:val="18"/>
          <w:lang w:eastAsia="en-AU"/>
        </w:rPr>
        <w:t>Pro Bono Australia’s aim is twofold: to facilitate and increase the level of Philanthropy in Australia and to give Not for Profit organisations the resources they need to run effectively.</w:t>
      </w:r>
    </w:p>
    <w:p w:rsidR="000A0294" w:rsidRDefault="000A0294" w:rsidP="000A0294"/>
    <w:p w:rsidR="00305CEC" w:rsidRDefault="00305CEC">
      <w:bookmarkStart w:id="0" w:name="_GoBack"/>
      <w:bookmarkEnd w:id="0"/>
    </w:p>
    <w:sectPr w:rsidR="00305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94"/>
    <w:rsid w:val="000A0294"/>
    <w:rsid w:val="00305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ethical.com.au/community" TargetMode="External"/><Relationship Id="rId13" Type="http://schemas.openxmlformats.org/officeDocument/2006/relationships/hyperlink" Target="http://www.myerfoundation.org.au/" TargetMode="External"/><Relationship Id="rId18" Type="http://schemas.openxmlformats.org/officeDocument/2006/relationships/hyperlink" Target="http://www.reichstein.org.au/" TargetMode="External"/><Relationship Id="rId26" Type="http://schemas.openxmlformats.org/officeDocument/2006/relationships/hyperlink" Target="http://www.givewell.com.au/" TargetMode="External"/><Relationship Id="rId3" Type="http://schemas.openxmlformats.org/officeDocument/2006/relationships/settings" Target="settings.xml"/><Relationship Id="rId21" Type="http://schemas.openxmlformats.org/officeDocument/2006/relationships/hyperlink" Target="http://www.churchilltrust.com.au/" TargetMode="External"/><Relationship Id="rId7" Type="http://schemas.openxmlformats.org/officeDocument/2006/relationships/hyperlink" Target="http://www.australiacouncil.gov.au/" TargetMode="External"/><Relationship Id="rId12" Type="http://schemas.openxmlformats.org/officeDocument/2006/relationships/hyperlink" Target="http://www.fya.org.au/" TargetMode="External"/><Relationship Id="rId17" Type="http://schemas.openxmlformats.org/officeDocument/2006/relationships/hyperlink" Target="http://www.ianpotter.org.au/" TargetMode="External"/><Relationship Id="rId25" Type="http://schemas.openxmlformats.org/officeDocument/2006/relationships/hyperlink" Target="http://www.frrr.org.a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erpetual.com.au/philanthropic-services.aspx" TargetMode="External"/><Relationship Id="rId20" Type="http://schemas.openxmlformats.org/officeDocument/2006/relationships/hyperlink" Target="http://www.trinityfamilies.org.au/" TargetMode="External"/><Relationship Id="rId29" Type="http://schemas.openxmlformats.org/officeDocument/2006/relationships/hyperlink" Target="http://www.ourcommunity.com.au/" TargetMode="External"/><Relationship Id="rId1" Type="http://schemas.openxmlformats.org/officeDocument/2006/relationships/styles" Target="styles.xml"/><Relationship Id="rId6" Type="http://schemas.openxmlformats.org/officeDocument/2006/relationships/hyperlink" Target="http://www.anz.com/personal/private-bank-trustees/trustees/apply-grant/find-trust-program/" TargetMode="External"/><Relationship Id="rId11" Type="http://schemas.openxmlformats.org/officeDocument/2006/relationships/hyperlink" Target="http://www.invergowrie.org.au/" TargetMode="External"/><Relationship Id="rId24" Type="http://schemas.openxmlformats.org/officeDocument/2006/relationships/hyperlink" Target="http://communityfoundations.philanthropy.org.au/" TargetMode="External"/><Relationship Id="rId32" Type="http://schemas.openxmlformats.org/officeDocument/2006/relationships/fontTable" Target="fontTable.xml"/><Relationship Id="rId5" Type="http://schemas.openxmlformats.org/officeDocument/2006/relationships/hyperlink" Target="http://www.anz.com/about-us/corporate-responsibility/community/community-involvement/giving/" TargetMode="External"/><Relationship Id="rId15" Type="http://schemas.openxmlformats.org/officeDocument/2006/relationships/hyperlink" Target="http://www.nrma.com.au/about-us/community/help-grants/index.shtml" TargetMode="External"/><Relationship Id="rId23" Type="http://schemas.openxmlformats.org/officeDocument/2006/relationships/hyperlink" Target="http://www.communitybuilders.nsw.gov.au/funding.html" TargetMode="External"/><Relationship Id="rId28" Type="http://schemas.openxmlformats.org/officeDocument/2006/relationships/hyperlink" Target="http://www.grantsearch.com.au/" TargetMode="External"/><Relationship Id="rId10" Type="http://schemas.openxmlformats.org/officeDocument/2006/relationships/hyperlink" Target="http://www.fulbright.com.au/scholarships/australian.html" TargetMode="External"/><Relationship Id="rId19" Type="http://schemas.openxmlformats.org/officeDocument/2006/relationships/hyperlink" Target="http://www.scanlonfoundation.org.au/" TargetMode="External"/><Relationship Id="rId31" Type="http://schemas.openxmlformats.org/officeDocument/2006/relationships/hyperlink" Target="http://www.probonoaustralia.com.au/" TargetMode="External"/><Relationship Id="rId4" Type="http://schemas.openxmlformats.org/officeDocument/2006/relationships/webSettings" Target="webSettings.xml"/><Relationship Id="rId9" Type="http://schemas.openxmlformats.org/officeDocument/2006/relationships/hyperlink" Target="http://www.hondafoundation.org.au/" TargetMode="External"/><Relationship Id="rId14" Type="http://schemas.openxmlformats.org/officeDocument/2006/relationships/hyperlink" Target="http://nfaw.org/" TargetMode="External"/><Relationship Id="rId22" Type="http://schemas.openxmlformats.org/officeDocument/2006/relationships/hyperlink" Target="http://www.busigrants.com.au/" TargetMode="External"/><Relationship Id="rId27" Type="http://schemas.openxmlformats.org/officeDocument/2006/relationships/hyperlink" Target="http://www.grantslink.gov.au/" TargetMode="External"/><Relationship Id="rId30" Type="http://schemas.openxmlformats.org/officeDocument/2006/relationships/hyperlink" Target="http://www.philanthrop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KateSchwager</dc:creator>
  <cp:lastModifiedBy>KateSchwager</cp:lastModifiedBy>
  <cp:revision>1</cp:revision>
  <dcterms:created xsi:type="dcterms:W3CDTF">2014-09-03T06:21:00Z</dcterms:created>
  <dcterms:modified xsi:type="dcterms:W3CDTF">2014-09-03T06:23:00Z</dcterms:modified>
</cp:coreProperties>
</file>